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过氧化值（以脂肪计）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过氧化值是指油脂中不饱和脂肪酸被氧化形成过氧化物，是油脂酸败的早期指标。《食品安全国家标准 糕点、面包》（GB 7099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2015）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《食品安全国家标准 饼干》（GB 7100-2015）中规定，糕点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和饼干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中过氧化值（以脂肪计）的最大限量值为0.25g/100g。过氧化值超标的原因，可能是产品用油已经变质，或者产品在储存过程中环境条件控制不当导致产品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亚硝酸盐（以NO</w:t>
      </w:r>
      <w:r>
        <w:rPr>
          <w:rFonts w:hint="eastAsia" w:ascii="Times New Roman" w:hAnsi="Times New Roman" w:eastAsia="黑体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亚硝酸盐能一定程度上反映水体被污染的情况。《食品安全国家标准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2017）中规定，包装饮用水（矿泉水除外）中亚硝酸盐的最大限量值为0.005mg/L（以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NO</w:t>
      </w:r>
      <w:r>
        <w:rPr>
          <w:rFonts w:hint="eastAsia" w:ascii="Times New Roman" w:hAnsi="Times New Roman" w:eastAsia="黑体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计）。水中的亚硝酸盐可由硝酸盐转化而来，硝酸盐有天然来源和人为来源，水体被细菌污染后，在一定温度下细菌会释放出硝酸盐还原酶，将水中的硝酸盐还原成亚硝酸盐，另外如果消毒控制不当，也会导致输水系统中亚硝酸盐浓度升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界限指标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界限指标是区别天然矿泉水与其他饮用水的主要品质指标。界限指标包括锂、锶、锌、碘化物、偏硅酸、硒、游离二氧化碳和溶解性总固体八个项目，饮用天然矿泉水产品应有一项（或一项以上）指标符合标准的规定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《饮用天然矿泉水》（GB 8537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8）中规定，</w:t>
      </w:r>
      <w:r>
        <w:rPr>
          <w:rFonts w:ascii="Times New Roman" w:hAnsi="Times New Roman" w:eastAsia="仿宋_GB2312" w:cs="Times New Roman"/>
          <w:sz w:val="32"/>
          <w:szCs w:val="32"/>
        </w:rPr>
        <w:t>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的标准值应不低于0.20mg/L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偏硅酸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的标准值应不低于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25.0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mg/L。实际检测的界限指标含量应达到国家标准要求，也应符合产品标签标示要求。本次抽检发现的不合格产品的包装标签明示值</w:t>
      </w:r>
      <w:r>
        <w:rPr>
          <w:rFonts w:ascii="Times New Roman" w:hAnsi="Times New Roman" w:eastAsia="仿宋_GB2312" w:cs="Times New Roman"/>
          <w:sz w:val="32"/>
          <w:szCs w:val="32"/>
        </w:rPr>
        <w:t>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偏硅酸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对应分别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为0.2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mg/L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-0.30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mg/L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44.4mg/L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69.8mg/L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。天然矿泉水的界限指标不达标原因可能是水处理过度使元素损失；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也有可能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是水源受环境、季节等因素影响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界限指标含量波动，最终导致终产品中界限指标不达标。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" w:leftChars="0" w:firstLine="624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三氯蔗糖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outlineLvl w:val="9"/>
        <w:rPr>
          <w:rFonts w:hint="default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三氯蔗糖又名蔗糖素、蔗糖精，是食品生产中常用的</w:t>
      </w:r>
      <w:r>
        <w:rPr>
          <w:rFonts w:ascii="Times New Roman" w:hAnsi="Times New Roman" w:eastAsia="方正仿宋简体" w:cs="Times New Roman"/>
          <w:sz w:val="32"/>
          <w:szCs w:val="20"/>
        </w:rPr>
        <w:fldChar w:fldCharType="begin"/>
      </w:r>
      <w:r>
        <w:rPr>
          <w:rFonts w:ascii="Times New Roman" w:hAnsi="Times New Roman" w:eastAsia="方正仿宋简体" w:cs="Times New Roman"/>
          <w:sz w:val="32"/>
          <w:szCs w:val="20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ascii="Times New Roman" w:hAnsi="Times New Roman" w:eastAsia="方正仿宋简体" w:cs="Times New Roman"/>
          <w:sz w:val="32"/>
          <w:szCs w:val="20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甜味</w:t>
      </w:r>
      <w:r>
        <w:rPr>
          <w:rFonts w:ascii="Times New Roman" w:hAnsi="Times New Roman" w:eastAsia="仿宋_GB2312" w:cs="Times New Roman"/>
          <w:sz w:val="32"/>
          <w:szCs w:val="32"/>
        </w:rPr>
        <w:t>剂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2014）中规定，葡萄酒</w:t>
      </w:r>
      <w:r>
        <w:rPr>
          <w:rFonts w:ascii="Times New Roman" w:hAnsi="Times New Roman" w:eastAsia="仿宋_GB2312" w:cs="Times New Roman"/>
          <w:sz w:val="32"/>
          <w:szCs w:val="32"/>
        </w:rPr>
        <w:t>中不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z w:val="32"/>
          <w:szCs w:val="32"/>
        </w:rPr>
        <w:t>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三氯蔗糖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葡萄酒中检出三氯蔗糖的原因，可能是生产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为改善产品感官而违规添加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是葡萄酒与其他发酵酒或配制酒在</w:t>
      </w:r>
      <w:r>
        <w:rPr>
          <w:rFonts w:ascii="Times New Roman" w:hAnsi="Times New Roman" w:eastAsia="仿宋_GB2312" w:cs="Times New Roman"/>
          <w:sz w:val="32"/>
          <w:szCs w:val="32"/>
        </w:rPr>
        <w:t>生产过程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中交叉</w:t>
      </w:r>
      <w:r>
        <w:rPr>
          <w:rFonts w:ascii="Times New Roman" w:hAnsi="Times New Roman" w:eastAsia="仿宋_GB2312" w:cs="Times New Roman"/>
          <w:sz w:val="32"/>
          <w:szCs w:val="32"/>
        </w:rPr>
        <w:t>污染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等导致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3FF16"/>
    <w:multiLevelType w:val="singleLevel"/>
    <w:tmpl w:val="9D53FF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3731FD8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2B137C"/>
    <w:rsid w:val="125E1B94"/>
    <w:rsid w:val="157E5278"/>
    <w:rsid w:val="169D136B"/>
    <w:rsid w:val="190A207C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1011D84"/>
    <w:rsid w:val="426B3C81"/>
    <w:rsid w:val="449A0830"/>
    <w:rsid w:val="47075DCC"/>
    <w:rsid w:val="47811D3F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2021-06-17T09:41:30Z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F46EFFB5EC0D4DB5A641BE2063BCF22F</vt:lpwstr>
  </property>
</Properties>
</file>